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7E72F" w14:textId="77777777" w:rsidR="00CF49B9" w:rsidRDefault="00CF49B9" w:rsidP="00CF49B9">
      <w:pPr>
        <w:pStyle w:val="Ttulo2"/>
        <w:rPr>
          <w:i w:val="0"/>
        </w:rPr>
      </w:pPr>
      <w:bookmarkStart w:id="0" w:name="_Toc63251814"/>
    </w:p>
    <w:p w14:paraId="00BEDD71" w14:textId="21F7BD5A" w:rsidR="00CF49B9" w:rsidRPr="00A83EC4" w:rsidRDefault="00CF49B9" w:rsidP="00CF49B9">
      <w:pPr>
        <w:pStyle w:val="Ttulo2"/>
        <w:rPr>
          <w:i w:val="0"/>
        </w:rPr>
      </w:pPr>
      <w:r w:rsidRPr="00A83EC4">
        <w:rPr>
          <w:i w:val="0"/>
        </w:rPr>
        <w:t>ANEXO 5. FORMATO DE ASPECTOS RELEVANTES DE LA EVALUACIÓN (FARE)</w:t>
      </w:r>
      <w:bookmarkEnd w:id="0"/>
    </w:p>
    <w:p w14:paraId="3541EE86" w14:textId="77777777" w:rsidR="00CF49B9" w:rsidRDefault="00CF49B9" w:rsidP="00CF49B9">
      <w:pPr>
        <w:spacing w:after="0" w:line="240" w:lineRule="auto"/>
        <w:rPr>
          <w:rFonts w:ascii="Cambria" w:eastAsia="Cambria" w:hAnsi="Cambria" w:cs="Cambria"/>
          <w:b/>
          <w:i/>
        </w:rPr>
      </w:pPr>
    </w:p>
    <w:tbl>
      <w:tblPr>
        <w:tblStyle w:val="1"/>
        <w:tblW w:w="8941" w:type="dxa"/>
        <w:jc w:val="cente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1129"/>
        <w:gridCol w:w="1276"/>
        <w:gridCol w:w="2126"/>
        <w:gridCol w:w="1701"/>
        <w:gridCol w:w="443"/>
        <w:gridCol w:w="463"/>
        <w:gridCol w:w="1803"/>
      </w:tblGrid>
      <w:tr w:rsidR="00CF49B9" w14:paraId="5A631188" w14:textId="77777777" w:rsidTr="001422F7">
        <w:trPr>
          <w:trHeight w:val="583"/>
          <w:jc w:val="center"/>
        </w:trPr>
        <w:tc>
          <w:tcPr>
            <w:tcW w:w="2405" w:type="dxa"/>
            <w:gridSpan w:val="2"/>
            <w:shd w:val="clear" w:color="auto" w:fill="AEAAAA"/>
            <w:vAlign w:val="center"/>
          </w:tcPr>
          <w:p w14:paraId="3D68668B"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i/>
                <w:color w:val="FFFFFF"/>
                <w:sz w:val="16"/>
                <w:szCs w:val="16"/>
              </w:rPr>
            </w:pPr>
            <w:r>
              <w:rPr>
                <w:rFonts w:ascii="Cambria" w:eastAsia="Cambria" w:hAnsi="Cambria" w:cs="Cambria"/>
                <w:b/>
                <w:color w:val="FFFFFF"/>
                <w:sz w:val="16"/>
                <w:szCs w:val="16"/>
              </w:rPr>
              <w:t>Nombre de la evaluación:</w:t>
            </w:r>
          </w:p>
        </w:tc>
        <w:tc>
          <w:tcPr>
            <w:tcW w:w="6536" w:type="dxa"/>
            <w:gridSpan w:val="5"/>
            <w:shd w:val="clear" w:color="auto" w:fill="AEAAAA"/>
            <w:vAlign w:val="center"/>
          </w:tcPr>
          <w:p w14:paraId="6932BBFF" w14:textId="2D6BF4BC" w:rsidR="00CF49B9" w:rsidRDefault="00B42C5C" w:rsidP="001422F7">
            <w:pPr>
              <w:pBdr>
                <w:top w:val="nil"/>
                <w:left w:val="nil"/>
                <w:bottom w:val="nil"/>
                <w:right w:val="nil"/>
                <w:between w:val="nil"/>
              </w:pBdr>
              <w:spacing w:before="20" w:after="0" w:line="240" w:lineRule="auto"/>
              <w:rPr>
                <w:rFonts w:ascii="Cambria" w:eastAsia="Cambria" w:hAnsi="Cambria" w:cs="Cambria"/>
                <w:color w:val="FFFFFF"/>
                <w:sz w:val="16"/>
                <w:szCs w:val="16"/>
              </w:rPr>
            </w:pPr>
            <w:r>
              <w:rPr>
                <w:rFonts w:ascii="Cambria" w:eastAsia="Cambria" w:hAnsi="Cambria" w:cs="Cambria"/>
                <w:color w:val="FFFFFF"/>
                <w:sz w:val="16"/>
                <w:szCs w:val="16"/>
              </w:rPr>
              <w:t>Evaluación de procesos del programa Sembrando Vida</w:t>
            </w:r>
          </w:p>
        </w:tc>
      </w:tr>
      <w:tr w:rsidR="00CF49B9" w14:paraId="561909D9" w14:textId="77777777" w:rsidTr="001422F7">
        <w:trPr>
          <w:trHeight w:val="583"/>
          <w:jc w:val="center"/>
        </w:trPr>
        <w:tc>
          <w:tcPr>
            <w:tcW w:w="2405" w:type="dxa"/>
            <w:gridSpan w:val="2"/>
            <w:shd w:val="clear" w:color="auto" w:fill="auto"/>
            <w:vAlign w:val="center"/>
          </w:tcPr>
          <w:p w14:paraId="25A47DD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Objetivo de la evaluación:</w:t>
            </w:r>
          </w:p>
        </w:tc>
        <w:tc>
          <w:tcPr>
            <w:tcW w:w="6536" w:type="dxa"/>
            <w:gridSpan w:val="5"/>
            <w:shd w:val="clear" w:color="auto" w:fill="auto"/>
            <w:vAlign w:val="center"/>
          </w:tcPr>
          <w:p w14:paraId="327BE550" w14:textId="2859641B" w:rsidR="00CF49B9" w:rsidRDefault="00B42C5C"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sidRPr="00B42C5C">
              <w:rPr>
                <w:rFonts w:ascii="Cambria" w:eastAsia="Cambria" w:hAnsi="Cambria" w:cs="Cambria"/>
                <w:color w:val="000000"/>
                <w:sz w:val="16"/>
                <w:szCs w:val="16"/>
              </w:rPr>
              <w:t xml:space="preserve">Realizar un análisis sistemático de la gestión operativa </w:t>
            </w:r>
            <w:r w:rsidR="00B041D2">
              <w:rPr>
                <w:rFonts w:ascii="Cambria" w:eastAsia="Cambria" w:hAnsi="Cambria" w:cs="Cambria"/>
                <w:color w:val="000000"/>
                <w:sz w:val="16"/>
                <w:szCs w:val="16"/>
              </w:rPr>
              <w:t>del</w:t>
            </w:r>
            <w:r w:rsidRPr="00B42C5C">
              <w:rPr>
                <w:rFonts w:ascii="Cambria" w:eastAsia="Cambria" w:hAnsi="Cambria" w:cs="Cambria"/>
                <w:color w:val="000000"/>
                <w:sz w:val="16"/>
                <w:szCs w:val="16"/>
              </w:rPr>
              <w:t xml:space="preserve"> Programa Sembrando Vida, que permita valorar si dicha gestión cumple con lo necesario para el logro de las metas y objetivos </w:t>
            </w:r>
            <w:proofErr w:type="gramStart"/>
            <w:r w:rsidRPr="00B42C5C">
              <w:rPr>
                <w:rFonts w:ascii="Cambria" w:eastAsia="Cambria" w:hAnsi="Cambria" w:cs="Cambria"/>
                <w:color w:val="000000"/>
                <w:sz w:val="16"/>
                <w:szCs w:val="16"/>
              </w:rPr>
              <w:t>de</w:t>
            </w:r>
            <w:r w:rsidR="00B041D2">
              <w:rPr>
                <w:rFonts w:ascii="Cambria" w:eastAsia="Cambria" w:hAnsi="Cambria" w:cs="Cambria"/>
                <w:color w:val="000000"/>
                <w:sz w:val="16"/>
                <w:szCs w:val="16"/>
              </w:rPr>
              <w:t>l mismo</w:t>
            </w:r>
            <w:proofErr w:type="gramEnd"/>
            <w:r w:rsidRPr="00B42C5C">
              <w:rPr>
                <w:rFonts w:ascii="Cambria" w:eastAsia="Cambria" w:hAnsi="Cambria" w:cs="Cambria"/>
                <w:color w:val="000000"/>
                <w:sz w:val="16"/>
                <w:szCs w:val="16"/>
              </w:rPr>
              <w:t xml:space="preserve">. Así como, hacer recomendaciones que permitan la instrumentación de mejoras.  </w:t>
            </w:r>
          </w:p>
        </w:tc>
      </w:tr>
      <w:tr w:rsidR="00CF49B9" w14:paraId="54BAB56D" w14:textId="77777777" w:rsidTr="001422F7">
        <w:trPr>
          <w:trHeight w:val="583"/>
          <w:jc w:val="center"/>
        </w:trPr>
        <w:tc>
          <w:tcPr>
            <w:tcW w:w="2405" w:type="dxa"/>
            <w:gridSpan w:val="2"/>
            <w:shd w:val="clear" w:color="auto" w:fill="D9D9D9"/>
            <w:vAlign w:val="center"/>
          </w:tcPr>
          <w:p w14:paraId="199BB73B"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Tipo de evaluación: </w:t>
            </w:r>
          </w:p>
        </w:tc>
        <w:tc>
          <w:tcPr>
            <w:tcW w:w="3827" w:type="dxa"/>
            <w:gridSpan w:val="2"/>
            <w:shd w:val="clear" w:color="auto" w:fill="D9D9D9"/>
            <w:vAlign w:val="center"/>
          </w:tcPr>
          <w:p w14:paraId="05D10D68" w14:textId="59D526E6" w:rsidR="00CF49B9" w:rsidRDefault="00B041D2"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Evaluación de Procesos</w:t>
            </w:r>
          </w:p>
        </w:tc>
        <w:tc>
          <w:tcPr>
            <w:tcW w:w="906" w:type="dxa"/>
            <w:gridSpan w:val="2"/>
            <w:shd w:val="clear" w:color="auto" w:fill="D9D9D9"/>
            <w:vAlign w:val="center"/>
          </w:tcPr>
          <w:p w14:paraId="3FFC0062"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PAE: </w:t>
            </w:r>
          </w:p>
        </w:tc>
        <w:tc>
          <w:tcPr>
            <w:tcW w:w="1803" w:type="dxa"/>
            <w:shd w:val="clear" w:color="auto" w:fill="D9D9D9"/>
            <w:vAlign w:val="center"/>
          </w:tcPr>
          <w:p w14:paraId="41A792E2" w14:textId="7111873A" w:rsidR="00CF49B9" w:rsidRDefault="00B041D2"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2022</w:t>
            </w:r>
          </w:p>
        </w:tc>
      </w:tr>
      <w:tr w:rsidR="00CF49B9" w14:paraId="6431FB71" w14:textId="77777777" w:rsidTr="001422F7">
        <w:trPr>
          <w:trHeight w:val="583"/>
          <w:jc w:val="center"/>
        </w:trPr>
        <w:tc>
          <w:tcPr>
            <w:tcW w:w="1129" w:type="dxa"/>
            <w:shd w:val="clear" w:color="auto" w:fill="auto"/>
            <w:vAlign w:val="center"/>
          </w:tcPr>
          <w:p w14:paraId="19CF01D3" w14:textId="77777777" w:rsidR="00CF49B9" w:rsidRDefault="00CF49B9" w:rsidP="001422F7">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Ramo:</w:t>
            </w:r>
          </w:p>
        </w:tc>
        <w:tc>
          <w:tcPr>
            <w:tcW w:w="7812" w:type="dxa"/>
            <w:gridSpan w:val="6"/>
            <w:shd w:val="clear" w:color="auto" w:fill="auto"/>
            <w:vAlign w:val="center"/>
          </w:tcPr>
          <w:p w14:paraId="3585AC5B" w14:textId="56BC462C" w:rsidR="00CF49B9" w:rsidRDefault="00B041D2" w:rsidP="001422F7">
            <w:pPr>
              <w:pBdr>
                <w:top w:val="nil"/>
                <w:left w:val="nil"/>
                <w:bottom w:val="nil"/>
                <w:right w:val="nil"/>
                <w:between w:val="nil"/>
              </w:pBdr>
              <w:spacing w:before="120" w:after="120" w:line="240" w:lineRule="auto"/>
              <w:rPr>
                <w:rFonts w:ascii="Cambria" w:eastAsia="Cambria" w:hAnsi="Cambria" w:cs="Cambria"/>
                <w:color w:val="000000"/>
                <w:sz w:val="16"/>
                <w:szCs w:val="16"/>
              </w:rPr>
            </w:pPr>
            <w:r>
              <w:rPr>
                <w:rFonts w:ascii="Cambria" w:eastAsia="Cambria" w:hAnsi="Cambria" w:cs="Cambria"/>
                <w:color w:val="000000"/>
                <w:sz w:val="16"/>
                <w:szCs w:val="16"/>
              </w:rPr>
              <w:t xml:space="preserve">20 </w:t>
            </w:r>
            <w:proofErr w:type="gramStart"/>
            <w:r w:rsidR="00BA2BE7">
              <w:rPr>
                <w:rFonts w:ascii="Cambria" w:eastAsia="Cambria" w:hAnsi="Cambria" w:cs="Cambria"/>
                <w:color w:val="000000"/>
                <w:sz w:val="16"/>
                <w:szCs w:val="16"/>
              </w:rPr>
              <w:t>Bienestar</w:t>
            </w:r>
            <w:proofErr w:type="gramEnd"/>
          </w:p>
        </w:tc>
      </w:tr>
      <w:tr w:rsidR="00CF49B9" w14:paraId="027B0C2A" w14:textId="77777777" w:rsidTr="001422F7">
        <w:trPr>
          <w:trHeight w:val="583"/>
          <w:jc w:val="center"/>
        </w:trPr>
        <w:tc>
          <w:tcPr>
            <w:tcW w:w="1129" w:type="dxa"/>
            <w:shd w:val="clear" w:color="auto" w:fill="E7E6E6"/>
            <w:vAlign w:val="center"/>
          </w:tcPr>
          <w:p w14:paraId="6C881CD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Modalidad y Clave </w:t>
            </w:r>
            <w:proofErr w:type="spellStart"/>
            <w:r>
              <w:rPr>
                <w:rFonts w:ascii="Cambria" w:eastAsia="Cambria" w:hAnsi="Cambria" w:cs="Cambria"/>
                <w:b/>
                <w:color w:val="000000"/>
                <w:sz w:val="16"/>
                <w:szCs w:val="16"/>
              </w:rPr>
              <w:t>Pp</w:t>
            </w:r>
            <w:proofErr w:type="spellEnd"/>
            <w:r>
              <w:rPr>
                <w:rFonts w:ascii="Cambria" w:eastAsia="Cambria" w:hAnsi="Cambria" w:cs="Cambria"/>
                <w:b/>
                <w:color w:val="000000"/>
                <w:sz w:val="16"/>
                <w:szCs w:val="16"/>
              </w:rPr>
              <w:t>:</w:t>
            </w:r>
          </w:p>
        </w:tc>
        <w:tc>
          <w:tcPr>
            <w:tcW w:w="1276" w:type="dxa"/>
            <w:shd w:val="clear" w:color="auto" w:fill="E7E6E6"/>
            <w:vAlign w:val="center"/>
          </w:tcPr>
          <w:p w14:paraId="3CC6D7BE" w14:textId="6E683010" w:rsidR="00CF49B9" w:rsidRDefault="00B041D2"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S287</w:t>
            </w:r>
          </w:p>
        </w:tc>
        <w:tc>
          <w:tcPr>
            <w:tcW w:w="2126" w:type="dxa"/>
            <w:shd w:val="clear" w:color="auto" w:fill="E7E6E6"/>
            <w:vAlign w:val="center"/>
          </w:tcPr>
          <w:p w14:paraId="334F6F10"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Denominación </w:t>
            </w:r>
            <w:proofErr w:type="spellStart"/>
            <w:r>
              <w:rPr>
                <w:rFonts w:ascii="Cambria" w:eastAsia="Cambria" w:hAnsi="Cambria" w:cs="Cambria"/>
                <w:b/>
                <w:color w:val="000000"/>
                <w:sz w:val="16"/>
                <w:szCs w:val="16"/>
              </w:rPr>
              <w:t>Pp</w:t>
            </w:r>
            <w:proofErr w:type="spellEnd"/>
            <w:r>
              <w:rPr>
                <w:rFonts w:ascii="Cambria" w:eastAsia="Cambria" w:hAnsi="Cambria" w:cs="Cambria"/>
                <w:b/>
                <w:color w:val="000000"/>
                <w:sz w:val="16"/>
                <w:szCs w:val="16"/>
              </w:rPr>
              <w:t>:</w:t>
            </w:r>
          </w:p>
        </w:tc>
        <w:tc>
          <w:tcPr>
            <w:tcW w:w="4410" w:type="dxa"/>
            <w:gridSpan w:val="4"/>
            <w:shd w:val="clear" w:color="auto" w:fill="E7E6E6"/>
            <w:vAlign w:val="center"/>
          </w:tcPr>
          <w:p w14:paraId="709796A4" w14:textId="6F96B60A" w:rsidR="00CF49B9" w:rsidRDefault="00B041D2" w:rsidP="001422F7">
            <w:pPr>
              <w:pBdr>
                <w:top w:val="nil"/>
                <w:left w:val="nil"/>
                <w:bottom w:val="nil"/>
                <w:right w:val="nil"/>
                <w:between w:val="nil"/>
              </w:pBdr>
              <w:spacing w:before="20" w:after="0" w:line="240" w:lineRule="auto"/>
              <w:rPr>
                <w:rFonts w:ascii="Cambria" w:eastAsia="Cambria" w:hAnsi="Cambria" w:cs="Cambria"/>
                <w:i/>
                <w:color w:val="000000"/>
                <w:sz w:val="16"/>
                <w:szCs w:val="16"/>
              </w:rPr>
            </w:pPr>
            <w:r w:rsidRPr="00B041D2">
              <w:rPr>
                <w:rFonts w:ascii="Cambria" w:eastAsia="Cambria" w:hAnsi="Cambria" w:cs="Cambria"/>
                <w:color w:val="000000"/>
                <w:sz w:val="16"/>
                <w:szCs w:val="16"/>
              </w:rPr>
              <w:t>Sembrando Vida</w:t>
            </w:r>
          </w:p>
        </w:tc>
      </w:tr>
      <w:tr w:rsidR="00CF49B9" w14:paraId="18F56C4E" w14:textId="77777777" w:rsidTr="001422F7">
        <w:trPr>
          <w:trHeight w:val="583"/>
          <w:jc w:val="center"/>
        </w:trPr>
        <w:tc>
          <w:tcPr>
            <w:tcW w:w="2405" w:type="dxa"/>
            <w:gridSpan w:val="2"/>
            <w:shd w:val="clear" w:color="auto" w:fill="auto"/>
            <w:vAlign w:val="center"/>
          </w:tcPr>
          <w:p w14:paraId="458E6107"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Unidad Responsable (UR):</w:t>
            </w:r>
          </w:p>
        </w:tc>
        <w:tc>
          <w:tcPr>
            <w:tcW w:w="6536" w:type="dxa"/>
            <w:gridSpan w:val="5"/>
            <w:shd w:val="clear" w:color="auto" w:fill="auto"/>
            <w:vAlign w:val="center"/>
          </w:tcPr>
          <w:p w14:paraId="022D251D" w14:textId="298EA8C1" w:rsidR="00CF49B9" w:rsidRDefault="00BA2BE7" w:rsidP="001422F7">
            <w:pPr>
              <w:pBdr>
                <w:top w:val="nil"/>
                <w:left w:val="nil"/>
                <w:bottom w:val="nil"/>
                <w:right w:val="nil"/>
                <w:between w:val="nil"/>
              </w:pBdr>
              <w:spacing w:before="20" w:after="0" w:line="240" w:lineRule="auto"/>
              <w:rPr>
                <w:rFonts w:ascii="Cambria" w:eastAsia="Cambria" w:hAnsi="Cambria" w:cs="Cambria"/>
                <w:color w:val="000000"/>
                <w:sz w:val="16"/>
                <w:szCs w:val="16"/>
                <w:highlight w:val="yellow"/>
              </w:rPr>
            </w:pPr>
            <w:r w:rsidRPr="00BA2BE7">
              <w:rPr>
                <w:rFonts w:ascii="Cambria" w:eastAsia="Cambria" w:hAnsi="Cambria" w:cs="Cambria"/>
                <w:color w:val="000000"/>
                <w:sz w:val="16"/>
                <w:szCs w:val="16"/>
              </w:rPr>
              <w:t>Director General de Vinculación y Estrategias de Programas de Desarrollo Rural</w:t>
            </w:r>
          </w:p>
        </w:tc>
      </w:tr>
      <w:tr w:rsidR="00CF49B9" w14:paraId="6E149FBC" w14:textId="77777777" w:rsidTr="001422F7">
        <w:trPr>
          <w:trHeight w:val="583"/>
          <w:jc w:val="center"/>
        </w:trPr>
        <w:tc>
          <w:tcPr>
            <w:tcW w:w="2405" w:type="dxa"/>
            <w:gridSpan w:val="2"/>
            <w:shd w:val="clear" w:color="auto" w:fill="auto"/>
            <w:vAlign w:val="center"/>
          </w:tcPr>
          <w:p w14:paraId="1A48AA9B" w14:textId="77777777" w:rsidR="00CF49B9" w:rsidRPr="00B23A0A"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sidRPr="00B23A0A">
              <w:rPr>
                <w:rFonts w:ascii="Cambria" w:eastAsia="Cambria" w:hAnsi="Cambria" w:cs="Cambria"/>
                <w:b/>
                <w:color w:val="000000"/>
                <w:sz w:val="16"/>
                <w:szCs w:val="16"/>
              </w:rPr>
              <w:t xml:space="preserve">Área de Evaluación de la dependencia (AE):  </w:t>
            </w:r>
          </w:p>
        </w:tc>
        <w:tc>
          <w:tcPr>
            <w:tcW w:w="6536" w:type="dxa"/>
            <w:gridSpan w:val="5"/>
            <w:shd w:val="clear" w:color="auto" w:fill="auto"/>
            <w:vAlign w:val="center"/>
          </w:tcPr>
          <w:p w14:paraId="70C5C49D" w14:textId="1BCEBFF2" w:rsidR="00CF49B9" w:rsidRPr="00B23A0A" w:rsidRDefault="00770106" w:rsidP="00770106">
            <w:pPr>
              <w:pBdr>
                <w:top w:val="nil"/>
                <w:left w:val="nil"/>
                <w:bottom w:val="nil"/>
                <w:right w:val="nil"/>
                <w:between w:val="nil"/>
              </w:pBdr>
              <w:spacing w:before="20" w:after="0" w:line="240" w:lineRule="auto"/>
              <w:rPr>
                <w:rFonts w:ascii="Cambria" w:eastAsia="Cambria" w:hAnsi="Cambria" w:cs="Cambria"/>
                <w:color w:val="000000"/>
                <w:sz w:val="16"/>
                <w:szCs w:val="16"/>
              </w:rPr>
            </w:pPr>
            <w:r w:rsidRPr="00B23A0A">
              <w:rPr>
                <w:rFonts w:ascii="Cambria" w:eastAsia="Cambria" w:hAnsi="Cambria" w:cs="Cambria"/>
                <w:color w:val="000000"/>
                <w:sz w:val="16"/>
                <w:szCs w:val="16"/>
              </w:rPr>
              <w:t>Director General de Monitoreo y Evaluación para el Desarrollo</w:t>
            </w:r>
          </w:p>
        </w:tc>
      </w:tr>
      <w:tr w:rsidR="00CF49B9" w14:paraId="02685FF9" w14:textId="77777777" w:rsidTr="001422F7">
        <w:trPr>
          <w:trHeight w:val="317"/>
          <w:jc w:val="center"/>
        </w:trPr>
        <w:tc>
          <w:tcPr>
            <w:tcW w:w="2405" w:type="dxa"/>
            <w:gridSpan w:val="2"/>
            <w:vMerge w:val="restart"/>
            <w:shd w:val="clear" w:color="auto" w:fill="E7E6E6"/>
            <w:vAlign w:val="center"/>
          </w:tcPr>
          <w:p w14:paraId="2840F44C"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Instancia Evaluadora (IE): </w:t>
            </w:r>
          </w:p>
        </w:tc>
        <w:tc>
          <w:tcPr>
            <w:tcW w:w="2126" w:type="dxa"/>
            <w:shd w:val="clear" w:color="auto" w:fill="E7E6E6"/>
            <w:vAlign w:val="center"/>
          </w:tcPr>
          <w:p w14:paraId="5EE8CAF8"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Denominación: </w:t>
            </w:r>
          </w:p>
        </w:tc>
        <w:tc>
          <w:tcPr>
            <w:tcW w:w="4410" w:type="dxa"/>
            <w:gridSpan w:val="4"/>
            <w:shd w:val="clear" w:color="auto" w:fill="E7E6E6"/>
            <w:vAlign w:val="center"/>
          </w:tcPr>
          <w:p w14:paraId="23BF7140" w14:textId="02E786F0" w:rsidR="00CF49B9" w:rsidRDefault="007954FF" w:rsidP="001422F7">
            <w:pPr>
              <w:pBdr>
                <w:top w:val="nil"/>
                <w:left w:val="nil"/>
                <w:bottom w:val="nil"/>
                <w:right w:val="nil"/>
                <w:between w:val="nil"/>
              </w:pBdr>
              <w:spacing w:after="0" w:line="240" w:lineRule="auto"/>
              <w:rPr>
                <w:rFonts w:ascii="Soberana Sans" w:eastAsia="Soberana Sans" w:hAnsi="Soberana Sans" w:cs="Soberana Sans"/>
                <w:color w:val="000000"/>
                <w:sz w:val="12"/>
                <w:szCs w:val="12"/>
              </w:rPr>
            </w:pPr>
            <w:r w:rsidRPr="007954FF">
              <w:rPr>
                <w:rFonts w:ascii="Cambria" w:eastAsia="Cambria" w:hAnsi="Cambria" w:cs="Cambria"/>
                <w:color w:val="000000"/>
                <w:sz w:val="16"/>
                <w:szCs w:val="16"/>
              </w:rPr>
              <w:t>Universidad Autónoma Chapingo</w:t>
            </w:r>
          </w:p>
        </w:tc>
      </w:tr>
      <w:tr w:rsidR="00CF49B9" w14:paraId="339EC670" w14:textId="77777777" w:rsidTr="001422F7">
        <w:trPr>
          <w:trHeight w:val="293"/>
          <w:jc w:val="center"/>
        </w:trPr>
        <w:tc>
          <w:tcPr>
            <w:tcW w:w="2405" w:type="dxa"/>
            <w:gridSpan w:val="2"/>
            <w:vMerge/>
            <w:shd w:val="clear" w:color="auto" w:fill="E7E6E6"/>
            <w:vAlign w:val="center"/>
          </w:tcPr>
          <w:p w14:paraId="79367E03" w14:textId="77777777" w:rsidR="00CF49B9" w:rsidRDefault="00CF49B9" w:rsidP="001422F7">
            <w:pPr>
              <w:widowControl w:val="0"/>
              <w:pBdr>
                <w:top w:val="nil"/>
                <w:left w:val="nil"/>
                <w:bottom w:val="nil"/>
                <w:right w:val="nil"/>
                <w:between w:val="nil"/>
              </w:pBdr>
              <w:spacing w:after="0"/>
              <w:rPr>
                <w:rFonts w:ascii="Soberana Sans" w:eastAsia="Soberana Sans" w:hAnsi="Soberana Sans" w:cs="Soberana Sans"/>
                <w:color w:val="000000"/>
                <w:sz w:val="12"/>
                <w:szCs w:val="12"/>
              </w:rPr>
            </w:pPr>
          </w:p>
        </w:tc>
        <w:tc>
          <w:tcPr>
            <w:tcW w:w="2126" w:type="dxa"/>
            <w:shd w:val="clear" w:color="auto" w:fill="E7E6E6"/>
            <w:vAlign w:val="center"/>
          </w:tcPr>
          <w:p w14:paraId="3A8D3FE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Coordinador(a):</w:t>
            </w:r>
          </w:p>
        </w:tc>
        <w:tc>
          <w:tcPr>
            <w:tcW w:w="4410" w:type="dxa"/>
            <w:gridSpan w:val="4"/>
            <w:shd w:val="clear" w:color="auto" w:fill="E7E6E6"/>
            <w:vAlign w:val="center"/>
          </w:tcPr>
          <w:p w14:paraId="57D8CF8A" w14:textId="220093AE" w:rsidR="00CF49B9" w:rsidRPr="000A3C98" w:rsidRDefault="007954FF" w:rsidP="001422F7">
            <w:pPr>
              <w:pBdr>
                <w:top w:val="nil"/>
                <w:left w:val="nil"/>
                <w:bottom w:val="nil"/>
                <w:right w:val="nil"/>
                <w:between w:val="nil"/>
              </w:pBdr>
              <w:spacing w:after="0" w:line="240" w:lineRule="auto"/>
              <w:rPr>
                <w:rFonts w:ascii="Cambria" w:eastAsia="Cambria" w:hAnsi="Cambria" w:cs="Cambria"/>
                <w:iCs/>
                <w:color w:val="000000"/>
                <w:sz w:val="16"/>
                <w:szCs w:val="16"/>
              </w:rPr>
            </w:pPr>
            <w:r w:rsidRPr="000A3C98">
              <w:rPr>
                <w:rFonts w:ascii="Cambria" w:eastAsia="Cambria" w:hAnsi="Cambria" w:cs="Cambria"/>
                <w:iCs/>
                <w:color w:val="000000"/>
                <w:sz w:val="16"/>
                <w:szCs w:val="16"/>
              </w:rPr>
              <w:t>Norman Aguilar Gallegos</w:t>
            </w:r>
          </w:p>
        </w:tc>
      </w:tr>
      <w:tr w:rsidR="00CF49B9" w14:paraId="4BEB9A2E" w14:textId="77777777" w:rsidTr="001422F7">
        <w:trPr>
          <w:trHeight w:val="397"/>
          <w:jc w:val="center"/>
        </w:trPr>
        <w:tc>
          <w:tcPr>
            <w:tcW w:w="2405" w:type="dxa"/>
            <w:gridSpan w:val="2"/>
            <w:vMerge/>
            <w:shd w:val="clear" w:color="auto" w:fill="E7E6E6"/>
            <w:vAlign w:val="center"/>
          </w:tcPr>
          <w:p w14:paraId="6D2F8057" w14:textId="77777777" w:rsidR="00CF49B9" w:rsidRDefault="00CF49B9" w:rsidP="001422F7">
            <w:pPr>
              <w:widowControl w:val="0"/>
              <w:pBdr>
                <w:top w:val="nil"/>
                <w:left w:val="nil"/>
                <w:bottom w:val="nil"/>
                <w:right w:val="nil"/>
                <w:between w:val="nil"/>
              </w:pBdr>
              <w:spacing w:after="0"/>
              <w:rPr>
                <w:rFonts w:ascii="Cambria" w:eastAsia="Cambria" w:hAnsi="Cambria" w:cs="Cambria"/>
                <w:color w:val="000000"/>
                <w:sz w:val="16"/>
                <w:szCs w:val="16"/>
              </w:rPr>
            </w:pPr>
          </w:p>
        </w:tc>
        <w:tc>
          <w:tcPr>
            <w:tcW w:w="2126" w:type="dxa"/>
            <w:shd w:val="clear" w:color="auto" w:fill="E7E6E6"/>
            <w:vAlign w:val="center"/>
          </w:tcPr>
          <w:p w14:paraId="525B78A6"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Colaboradores(as):</w:t>
            </w:r>
          </w:p>
        </w:tc>
        <w:tc>
          <w:tcPr>
            <w:tcW w:w="4410" w:type="dxa"/>
            <w:gridSpan w:val="4"/>
            <w:shd w:val="clear" w:color="auto" w:fill="E7E6E6"/>
            <w:vAlign w:val="center"/>
          </w:tcPr>
          <w:p w14:paraId="5F69DCF3" w14:textId="6927EA1A" w:rsidR="007954FF" w:rsidRPr="000A3C98" w:rsidRDefault="007954FF" w:rsidP="007954FF">
            <w:pPr>
              <w:pBdr>
                <w:top w:val="nil"/>
                <w:left w:val="nil"/>
                <w:bottom w:val="nil"/>
                <w:right w:val="nil"/>
                <w:between w:val="nil"/>
              </w:pBdr>
              <w:spacing w:after="0" w:line="240" w:lineRule="auto"/>
              <w:rPr>
                <w:rFonts w:ascii="Cambria" w:eastAsia="Cambria" w:hAnsi="Cambria" w:cs="Cambria"/>
                <w:iCs/>
                <w:color w:val="000000"/>
                <w:sz w:val="16"/>
                <w:szCs w:val="16"/>
              </w:rPr>
            </w:pPr>
            <w:r w:rsidRPr="000A3C98">
              <w:rPr>
                <w:rFonts w:ascii="Cambria" w:eastAsia="Cambria" w:hAnsi="Cambria" w:cs="Cambria"/>
                <w:iCs/>
                <w:color w:val="000000"/>
                <w:sz w:val="16"/>
                <w:szCs w:val="16"/>
              </w:rPr>
              <w:t>Enrique Genaro Martínez González</w:t>
            </w:r>
          </w:p>
          <w:p w14:paraId="7B4E3BF4" w14:textId="31ED0261" w:rsidR="007954FF" w:rsidRPr="000A3C98" w:rsidRDefault="007954FF" w:rsidP="007954FF">
            <w:pPr>
              <w:pBdr>
                <w:top w:val="nil"/>
                <w:left w:val="nil"/>
                <w:bottom w:val="nil"/>
                <w:right w:val="nil"/>
                <w:between w:val="nil"/>
              </w:pBdr>
              <w:spacing w:after="0" w:line="240" w:lineRule="auto"/>
              <w:rPr>
                <w:rFonts w:ascii="Cambria" w:eastAsia="Cambria" w:hAnsi="Cambria" w:cs="Cambria"/>
                <w:iCs/>
                <w:color w:val="000000"/>
                <w:sz w:val="16"/>
                <w:szCs w:val="16"/>
              </w:rPr>
            </w:pPr>
            <w:proofErr w:type="spellStart"/>
            <w:r w:rsidRPr="000A3C98">
              <w:rPr>
                <w:rFonts w:ascii="Cambria" w:eastAsia="Cambria" w:hAnsi="Cambria" w:cs="Cambria"/>
                <w:iCs/>
                <w:color w:val="000000"/>
                <w:sz w:val="16"/>
                <w:szCs w:val="16"/>
              </w:rPr>
              <w:t>Zadya</w:t>
            </w:r>
            <w:proofErr w:type="spellEnd"/>
            <w:r w:rsidRPr="000A3C98">
              <w:rPr>
                <w:rFonts w:ascii="Cambria" w:eastAsia="Cambria" w:hAnsi="Cambria" w:cs="Cambria"/>
                <w:iCs/>
                <w:color w:val="000000"/>
                <w:sz w:val="16"/>
                <w:szCs w:val="16"/>
              </w:rPr>
              <w:t xml:space="preserve"> </w:t>
            </w:r>
            <w:proofErr w:type="spellStart"/>
            <w:r w:rsidRPr="000A3C98">
              <w:rPr>
                <w:rFonts w:ascii="Cambria" w:eastAsia="Cambria" w:hAnsi="Cambria" w:cs="Cambria"/>
                <w:iCs/>
                <w:color w:val="000000"/>
                <w:sz w:val="16"/>
                <w:szCs w:val="16"/>
              </w:rPr>
              <w:t>Franscellia</w:t>
            </w:r>
            <w:proofErr w:type="spellEnd"/>
            <w:r w:rsidRPr="000A3C98">
              <w:rPr>
                <w:rFonts w:ascii="Cambria" w:eastAsia="Cambria" w:hAnsi="Cambria" w:cs="Cambria"/>
                <w:iCs/>
                <w:color w:val="000000"/>
                <w:sz w:val="16"/>
                <w:szCs w:val="16"/>
              </w:rPr>
              <w:t xml:space="preserve"> de San José Vargas Espíndola</w:t>
            </w:r>
          </w:p>
          <w:p w14:paraId="035EEC24" w14:textId="3F8D025B" w:rsidR="007954FF" w:rsidRPr="000A3C98" w:rsidRDefault="007954FF" w:rsidP="007954FF">
            <w:pPr>
              <w:pBdr>
                <w:top w:val="nil"/>
                <w:left w:val="nil"/>
                <w:bottom w:val="nil"/>
                <w:right w:val="nil"/>
                <w:between w:val="nil"/>
              </w:pBdr>
              <w:spacing w:after="0" w:line="240" w:lineRule="auto"/>
              <w:rPr>
                <w:rFonts w:ascii="Cambria" w:eastAsia="Cambria" w:hAnsi="Cambria" w:cs="Cambria"/>
                <w:iCs/>
                <w:color w:val="000000"/>
                <w:sz w:val="16"/>
                <w:szCs w:val="16"/>
              </w:rPr>
            </w:pPr>
            <w:r w:rsidRPr="000A3C98">
              <w:rPr>
                <w:rFonts w:ascii="Cambria" w:eastAsia="Cambria" w:hAnsi="Cambria" w:cs="Cambria"/>
                <w:iCs/>
                <w:color w:val="000000"/>
                <w:sz w:val="16"/>
                <w:szCs w:val="16"/>
              </w:rPr>
              <w:t>María Guadalupe González Ramírez</w:t>
            </w:r>
          </w:p>
          <w:p w14:paraId="6B95D527" w14:textId="5E370AF3" w:rsidR="007954FF" w:rsidRPr="000A3C98" w:rsidRDefault="007954FF" w:rsidP="007954FF">
            <w:pPr>
              <w:pBdr>
                <w:top w:val="nil"/>
                <w:left w:val="nil"/>
                <w:bottom w:val="nil"/>
                <w:right w:val="nil"/>
                <w:between w:val="nil"/>
              </w:pBdr>
              <w:spacing w:after="0" w:line="240" w:lineRule="auto"/>
              <w:rPr>
                <w:rFonts w:ascii="Cambria" w:eastAsia="Cambria" w:hAnsi="Cambria" w:cs="Cambria"/>
                <w:iCs/>
                <w:color w:val="000000"/>
                <w:sz w:val="16"/>
                <w:szCs w:val="16"/>
              </w:rPr>
            </w:pPr>
            <w:r w:rsidRPr="000A3C98">
              <w:rPr>
                <w:rFonts w:ascii="Cambria" w:eastAsia="Cambria" w:hAnsi="Cambria" w:cs="Cambria"/>
                <w:iCs/>
                <w:color w:val="000000"/>
                <w:sz w:val="16"/>
                <w:szCs w:val="16"/>
              </w:rPr>
              <w:t xml:space="preserve">Adriana </w:t>
            </w:r>
            <w:proofErr w:type="spellStart"/>
            <w:r w:rsidRPr="000A3C98">
              <w:rPr>
                <w:rFonts w:ascii="Cambria" w:eastAsia="Cambria" w:hAnsi="Cambria" w:cs="Cambria"/>
                <w:iCs/>
                <w:color w:val="000000"/>
                <w:sz w:val="16"/>
                <w:szCs w:val="16"/>
              </w:rPr>
              <w:t>Yaomy</w:t>
            </w:r>
            <w:proofErr w:type="spellEnd"/>
            <w:r w:rsidRPr="000A3C98">
              <w:rPr>
                <w:rFonts w:ascii="Cambria" w:eastAsia="Cambria" w:hAnsi="Cambria" w:cs="Cambria"/>
                <w:iCs/>
                <w:color w:val="000000"/>
                <w:sz w:val="16"/>
                <w:szCs w:val="16"/>
              </w:rPr>
              <w:t xml:space="preserve"> Lucio Mendiola</w:t>
            </w:r>
          </w:p>
          <w:p w14:paraId="6E1F1C38" w14:textId="19CD3C43" w:rsidR="007954FF" w:rsidRPr="000A3C98" w:rsidRDefault="007954FF" w:rsidP="007954FF">
            <w:pPr>
              <w:pBdr>
                <w:top w:val="nil"/>
                <w:left w:val="nil"/>
                <w:bottom w:val="nil"/>
                <w:right w:val="nil"/>
                <w:between w:val="nil"/>
              </w:pBdr>
              <w:spacing w:after="0" w:line="240" w:lineRule="auto"/>
              <w:rPr>
                <w:rFonts w:ascii="Cambria" w:eastAsia="Cambria" w:hAnsi="Cambria" w:cs="Cambria"/>
                <w:iCs/>
                <w:color w:val="000000"/>
                <w:sz w:val="16"/>
                <w:szCs w:val="16"/>
              </w:rPr>
            </w:pPr>
            <w:r w:rsidRPr="000A3C98">
              <w:rPr>
                <w:rFonts w:ascii="Cambria" w:eastAsia="Cambria" w:hAnsi="Cambria" w:cs="Cambria"/>
                <w:iCs/>
                <w:color w:val="000000"/>
                <w:sz w:val="16"/>
                <w:szCs w:val="16"/>
              </w:rPr>
              <w:t>Horacio Reyes Gómez</w:t>
            </w:r>
          </w:p>
          <w:p w14:paraId="1A3059A4" w14:textId="149714DE" w:rsidR="00CF49B9" w:rsidRPr="000A3C98" w:rsidRDefault="007954FF" w:rsidP="007954FF">
            <w:pPr>
              <w:pBdr>
                <w:top w:val="nil"/>
                <w:left w:val="nil"/>
                <w:bottom w:val="nil"/>
                <w:right w:val="nil"/>
                <w:between w:val="nil"/>
              </w:pBdr>
              <w:spacing w:after="0" w:line="240" w:lineRule="auto"/>
              <w:rPr>
                <w:rFonts w:ascii="Cambria" w:eastAsia="Cambria" w:hAnsi="Cambria" w:cs="Cambria"/>
                <w:iCs/>
                <w:color w:val="000000"/>
                <w:sz w:val="16"/>
                <w:szCs w:val="16"/>
              </w:rPr>
            </w:pPr>
            <w:r w:rsidRPr="000A3C98">
              <w:rPr>
                <w:rFonts w:ascii="Cambria" w:eastAsia="Cambria" w:hAnsi="Cambria" w:cs="Cambria"/>
                <w:iCs/>
                <w:color w:val="000000"/>
                <w:sz w:val="16"/>
                <w:szCs w:val="16"/>
              </w:rPr>
              <w:t>Jorge Aguilar Ávila</w:t>
            </w:r>
          </w:p>
        </w:tc>
      </w:tr>
      <w:tr w:rsidR="00CF49B9" w14:paraId="3A9D2D4E" w14:textId="77777777" w:rsidTr="001422F7">
        <w:trPr>
          <w:trHeight w:val="583"/>
          <w:jc w:val="center"/>
        </w:trPr>
        <w:tc>
          <w:tcPr>
            <w:tcW w:w="2405" w:type="dxa"/>
            <w:gridSpan w:val="2"/>
            <w:shd w:val="clear" w:color="auto" w:fill="auto"/>
            <w:vAlign w:val="center"/>
          </w:tcPr>
          <w:p w14:paraId="2886B9FE"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Procedimiento de contratación:</w:t>
            </w:r>
          </w:p>
        </w:tc>
        <w:tc>
          <w:tcPr>
            <w:tcW w:w="2126" w:type="dxa"/>
            <w:shd w:val="clear" w:color="auto" w:fill="auto"/>
            <w:vAlign w:val="center"/>
          </w:tcPr>
          <w:p w14:paraId="539A1299" w14:textId="4545C10B" w:rsidR="00CF49B9"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Licitación Pública Nacional</w:t>
            </w:r>
            <w:r w:rsidR="000A3C98">
              <w:rPr>
                <w:rFonts w:ascii="Cambria" w:eastAsia="Cambria" w:hAnsi="Cambria" w:cs="Cambria"/>
                <w:color w:val="000000"/>
                <w:sz w:val="16"/>
                <w:szCs w:val="16"/>
              </w:rPr>
              <w:t xml:space="preserve"> Electrónica</w:t>
            </w:r>
          </w:p>
        </w:tc>
        <w:tc>
          <w:tcPr>
            <w:tcW w:w="2144" w:type="dxa"/>
            <w:gridSpan w:val="2"/>
            <w:shd w:val="clear" w:color="auto" w:fill="auto"/>
            <w:vAlign w:val="center"/>
          </w:tcPr>
          <w:p w14:paraId="58C862CE" w14:textId="77777777" w:rsidR="00CF49B9" w:rsidRDefault="00CF49B9" w:rsidP="001422F7">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Costo de la evaluación:</w:t>
            </w:r>
          </w:p>
        </w:tc>
        <w:tc>
          <w:tcPr>
            <w:tcW w:w="2266" w:type="dxa"/>
            <w:gridSpan w:val="2"/>
            <w:shd w:val="clear" w:color="auto" w:fill="auto"/>
            <w:vAlign w:val="center"/>
          </w:tcPr>
          <w:p w14:paraId="354134CE" w14:textId="77777777" w:rsidR="00CF49B9"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sidRPr="007954FF">
              <w:rPr>
                <w:rFonts w:ascii="Cambria" w:eastAsia="Cambria" w:hAnsi="Cambria" w:cs="Cambria"/>
                <w:color w:val="000000"/>
                <w:sz w:val="16"/>
                <w:szCs w:val="16"/>
              </w:rPr>
              <w:t>$3,977,640.00 (Tres millones novecientos setenta y siete mil seiscientos cuarenta pesos 00/100 M.N.)</w:t>
            </w:r>
          </w:p>
          <w:p w14:paraId="1A834FE8" w14:textId="4549669D" w:rsidR="007954FF"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Costo total del proyecto “Evaluación de procesos a tres programas prioritarios de apoyos al campo”, dentro del cual se realizó esta evaluación.</w:t>
            </w:r>
          </w:p>
        </w:tc>
      </w:tr>
      <w:tr w:rsidR="00CF49B9" w14:paraId="7BB3E56C" w14:textId="77777777" w:rsidTr="001422F7">
        <w:trPr>
          <w:trHeight w:val="583"/>
          <w:jc w:val="center"/>
        </w:trPr>
        <w:tc>
          <w:tcPr>
            <w:tcW w:w="2405" w:type="dxa"/>
            <w:gridSpan w:val="2"/>
            <w:shd w:val="clear" w:color="auto" w:fill="auto"/>
            <w:vAlign w:val="center"/>
          </w:tcPr>
          <w:p w14:paraId="3ADFE1C1"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Tipo de contratación:</w:t>
            </w:r>
          </w:p>
        </w:tc>
        <w:tc>
          <w:tcPr>
            <w:tcW w:w="2126" w:type="dxa"/>
            <w:shd w:val="clear" w:color="auto" w:fill="auto"/>
            <w:vAlign w:val="center"/>
          </w:tcPr>
          <w:p w14:paraId="39E4697A" w14:textId="00FE80FE" w:rsidR="00CF49B9" w:rsidRDefault="000A3C98"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Individual</w:t>
            </w:r>
          </w:p>
        </w:tc>
        <w:tc>
          <w:tcPr>
            <w:tcW w:w="2144" w:type="dxa"/>
            <w:gridSpan w:val="2"/>
            <w:shd w:val="clear" w:color="auto" w:fill="auto"/>
            <w:vAlign w:val="center"/>
          </w:tcPr>
          <w:p w14:paraId="0AAF4849" w14:textId="77777777" w:rsidR="00CF49B9" w:rsidRDefault="00CF49B9" w:rsidP="001422F7">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Fuente de financiamiento:</w:t>
            </w:r>
          </w:p>
        </w:tc>
        <w:tc>
          <w:tcPr>
            <w:tcW w:w="2266" w:type="dxa"/>
            <w:gridSpan w:val="2"/>
            <w:shd w:val="clear" w:color="auto" w:fill="auto"/>
            <w:vAlign w:val="center"/>
          </w:tcPr>
          <w:p w14:paraId="235F59D0" w14:textId="77777777" w:rsidR="000A3C98" w:rsidRDefault="000A3C98"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 xml:space="preserve">Recursos federales </w:t>
            </w:r>
          </w:p>
          <w:p w14:paraId="0174DFA1" w14:textId="38FB7FB7" w:rsidR="00CF49B9"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sidRPr="007954FF">
              <w:rPr>
                <w:rFonts w:ascii="Cambria" w:eastAsia="Cambria" w:hAnsi="Cambria" w:cs="Cambria"/>
                <w:color w:val="000000"/>
                <w:sz w:val="16"/>
                <w:szCs w:val="16"/>
              </w:rPr>
              <w:t>Partida presupuestal 33501 “Estudios e investigaciones”</w:t>
            </w:r>
          </w:p>
        </w:tc>
      </w:tr>
      <w:tr w:rsidR="00CF49B9" w14:paraId="007C6984" w14:textId="77777777" w:rsidTr="001422F7">
        <w:trPr>
          <w:trHeight w:val="583"/>
          <w:jc w:val="center"/>
        </w:trPr>
        <w:tc>
          <w:tcPr>
            <w:tcW w:w="2405" w:type="dxa"/>
            <w:gridSpan w:val="2"/>
            <w:shd w:val="clear" w:color="auto" w:fill="D9D9D9"/>
            <w:vAlign w:val="center"/>
          </w:tcPr>
          <w:p w14:paraId="3F755A72"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Instancia de coordinación de la evaluación:</w:t>
            </w:r>
          </w:p>
        </w:tc>
        <w:tc>
          <w:tcPr>
            <w:tcW w:w="6536" w:type="dxa"/>
            <w:gridSpan w:val="5"/>
            <w:shd w:val="clear" w:color="auto" w:fill="D9D9D9"/>
            <w:vAlign w:val="center"/>
          </w:tcPr>
          <w:p w14:paraId="141B9053" w14:textId="152DE639" w:rsidR="00CF49B9"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Consejo Nacional de Evaluación de la Política de Desarrollo Social (CONEVAL)</w:t>
            </w:r>
          </w:p>
        </w:tc>
      </w:tr>
    </w:tbl>
    <w:p w14:paraId="3FE8AA9F" w14:textId="77777777" w:rsidR="00CF49B9" w:rsidRDefault="00CF49B9" w:rsidP="00CF49B9">
      <w:pPr>
        <w:jc w:val="both"/>
        <w:rPr>
          <w:rFonts w:ascii="Cambria" w:eastAsia="Cambria" w:hAnsi="Cambria" w:cs="Cambria"/>
        </w:rPr>
      </w:pPr>
    </w:p>
    <w:p w14:paraId="5BE65C0B" w14:textId="0D33803C" w:rsidR="00CF49B9" w:rsidRDefault="00CF49B9" w:rsidP="00CF49B9">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b/>
          <w:color w:val="000000"/>
        </w:rPr>
        <w:t>Descripción del Programa</w:t>
      </w:r>
      <w:r w:rsidR="000A3C98">
        <w:rPr>
          <w:rFonts w:ascii="Cambria" w:eastAsia="Cambria" w:hAnsi="Cambria" w:cs="Cambria"/>
          <w:b/>
          <w:color w:val="000000"/>
        </w:rPr>
        <w:t xml:space="preserve"> </w:t>
      </w:r>
    </w:p>
    <w:p w14:paraId="75B3775B" w14:textId="44C09E05" w:rsidR="007954FF" w:rsidRPr="000A3C98" w:rsidRDefault="00314B51" w:rsidP="007954FF">
      <w:pPr>
        <w:pBdr>
          <w:top w:val="nil"/>
          <w:left w:val="nil"/>
          <w:bottom w:val="nil"/>
          <w:right w:val="nil"/>
          <w:between w:val="nil"/>
        </w:pBdr>
        <w:spacing w:after="120" w:line="240" w:lineRule="auto"/>
        <w:jc w:val="both"/>
        <w:rPr>
          <w:rFonts w:ascii="Cambria" w:eastAsia="Cambria" w:hAnsi="Cambria" w:cs="Cambria"/>
          <w:color w:val="000000"/>
        </w:rPr>
      </w:pPr>
      <w:r w:rsidRPr="000A3C98">
        <w:rPr>
          <w:rFonts w:ascii="Cambria" w:eastAsia="Cambria" w:hAnsi="Cambria" w:cs="Cambria"/>
          <w:color w:val="000000"/>
        </w:rPr>
        <w:t>El programa inició su operación en 2019 y, de acuerdo con su normatividad</w:t>
      </w:r>
      <w:r w:rsidR="000A3C98">
        <w:rPr>
          <w:rFonts w:ascii="Cambria" w:eastAsia="Cambria" w:hAnsi="Cambria" w:cs="Cambria"/>
          <w:color w:val="000000"/>
        </w:rPr>
        <w:t>,</w:t>
      </w:r>
      <w:r w:rsidRPr="000A3C98">
        <w:rPr>
          <w:rFonts w:ascii="Cambria" w:eastAsia="Cambria" w:hAnsi="Cambria" w:cs="Cambria"/>
          <w:color w:val="000000"/>
        </w:rPr>
        <w:t xml:space="preserve"> tiene el </w:t>
      </w:r>
      <w:r w:rsidR="007954FF" w:rsidRPr="000A3C98">
        <w:rPr>
          <w:rFonts w:ascii="Cambria" w:eastAsia="Cambria" w:hAnsi="Cambria" w:cs="Cambria"/>
          <w:color w:val="000000"/>
        </w:rPr>
        <w:t xml:space="preserve">objetivo </w:t>
      </w:r>
      <w:r w:rsidRPr="000A3C98">
        <w:rPr>
          <w:rFonts w:ascii="Cambria" w:eastAsia="Cambria" w:hAnsi="Cambria" w:cs="Cambria"/>
          <w:color w:val="000000"/>
        </w:rPr>
        <w:t xml:space="preserve">de que </w:t>
      </w:r>
      <w:r w:rsidR="007954FF" w:rsidRPr="000A3C98">
        <w:rPr>
          <w:rFonts w:ascii="Cambria" w:eastAsia="Cambria" w:hAnsi="Cambria" w:cs="Cambria"/>
          <w:color w:val="000000"/>
        </w:rPr>
        <w:t xml:space="preserve">las y los Sujetos de Derecho que se encuentran en municipios con Rezago Social, cuenten con 2.5 hectáreas sembradas con Sistemas de Producción Agroforestales (SAF), que implica la siembra de cultivos anuales y árboles maderables, y Milpa Intercalada </w:t>
      </w:r>
      <w:r w:rsidR="000A3C98">
        <w:rPr>
          <w:rFonts w:ascii="Cambria" w:eastAsia="Cambria" w:hAnsi="Cambria" w:cs="Cambria"/>
          <w:color w:val="000000"/>
        </w:rPr>
        <w:t>con</w:t>
      </w:r>
      <w:r w:rsidR="007954FF" w:rsidRPr="000A3C98">
        <w:rPr>
          <w:rFonts w:ascii="Cambria" w:eastAsia="Cambria" w:hAnsi="Cambria" w:cs="Cambria"/>
          <w:color w:val="000000"/>
        </w:rPr>
        <w:t xml:space="preserve"> árboles Frutales (MIAF) y que tengan cubiertas sus necesidades alimenticias básicas. Para lograrlo, otorga a los Sujetos de Derecho un apoyo</w:t>
      </w:r>
      <w:r w:rsidRPr="000A3C98">
        <w:rPr>
          <w:rFonts w:ascii="Cambria" w:eastAsia="Cambria" w:hAnsi="Cambria" w:cs="Cambria"/>
          <w:color w:val="000000"/>
        </w:rPr>
        <w:t xml:space="preserve"> </w:t>
      </w:r>
      <w:r w:rsidR="007954FF" w:rsidRPr="000A3C98">
        <w:rPr>
          <w:rFonts w:ascii="Cambria" w:eastAsia="Cambria" w:hAnsi="Cambria" w:cs="Cambria"/>
          <w:color w:val="000000"/>
        </w:rPr>
        <w:t xml:space="preserve">económico de $5,000 pesos mensuales, además de apoyos en </w:t>
      </w:r>
      <w:r w:rsidR="007954FF" w:rsidRPr="000A3C98">
        <w:rPr>
          <w:rFonts w:ascii="Cambria" w:eastAsia="Cambria" w:hAnsi="Cambria" w:cs="Cambria"/>
          <w:color w:val="000000"/>
        </w:rPr>
        <w:lastRenderedPageBreak/>
        <w:t xml:space="preserve">especie y acompañamiento social y técnico para la implementación del programa y la producción agroforestal que se realiza en las Comunidades de Aprendizaje Campesino (CAC), conformadas por 25 Sujetos de Derecho beneficiarios del programa, en las que éstos operan los Viveros Comunitarios y las Biofábricas. </w:t>
      </w:r>
    </w:p>
    <w:p w14:paraId="68133DF5" w14:textId="0BCB2344" w:rsidR="00CF49B9" w:rsidRDefault="00CF49B9" w:rsidP="00CF49B9">
      <w:pPr>
        <w:pBdr>
          <w:top w:val="nil"/>
          <w:left w:val="nil"/>
          <w:bottom w:val="nil"/>
          <w:right w:val="nil"/>
          <w:between w:val="nil"/>
        </w:pBdr>
        <w:spacing w:after="120" w:line="240" w:lineRule="auto"/>
        <w:jc w:val="both"/>
        <w:rPr>
          <w:rFonts w:ascii="Cambria" w:eastAsia="Cambria" w:hAnsi="Cambria" w:cs="Cambria"/>
          <w:color w:val="000000"/>
        </w:rPr>
      </w:pPr>
      <w:r w:rsidRPr="0098066E">
        <w:rPr>
          <w:rFonts w:asciiTheme="minorHAnsi" w:hAnsiTheme="minorHAnsi"/>
          <w:b/>
          <w:color w:val="000000"/>
        </w:rPr>
        <w:t>Principales hallazgos de la evaluación</w:t>
      </w:r>
      <w:r>
        <w:rPr>
          <w:rFonts w:ascii="Cambria" w:eastAsia="Cambria" w:hAnsi="Cambria" w:cs="Cambria"/>
          <w:b/>
          <w:color w:val="000000"/>
        </w:rPr>
        <w:t xml:space="preserve"> </w:t>
      </w:r>
    </w:p>
    <w:p w14:paraId="333C8C68" w14:textId="0BDA1EC5" w:rsidR="00314B51" w:rsidRDefault="00C82D4C" w:rsidP="000A3C98">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t xml:space="preserve">Se identifican </w:t>
      </w:r>
      <w:r w:rsidR="00314B51" w:rsidRPr="00314B51">
        <w:rPr>
          <w:rFonts w:ascii="Cambria" w:eastAsia="Cambria" w:hAnsi="Cambria" w:cs="Cambria"/>
          <w:color w:val="000000"/>
        </w:rPr>
        <w:t>fortalezas que</w:t>
      </w:r>
      <w:r>
        <w:rPr>
          <w:rFonts w:ascii="Cambria" w:eastAsia="Cambria" w:hAnsi="Cambria" w:cs="Cambria"/>
          <w:color w:val="000000"/>
        </w:rPr>
        <w:t xml:space="preserve"> </w:t>
      </w:r>
      <w:r w:rsidR="00314B51" w:rsidRPr="00314B51">
        <w:rPr>
          <w:rFonts w:ascii="Cambria" w:eastAsia="Cambria" w:hAnsi="Cambria" w:cs="Cambria"/>
          <w:color w:val="000000"/>
        </w:rPr>
        <w:t>contribuyen a la gestión operativa del Programa: en los procesos de selección de beneficiarios y</w:t>
      </w:r>
      <w:r>
        <w:rPr>
          <w:rFonts w:ascii="Cambria" w:eastAsia="Cambria" w:hAnsi="Cambria" w:cs="Cambria"/>
          <w:color w:val="000000"/>
        </w:rPr>
        <w:t xml:space="preserve"> </w:t>
      </w:r>
      <w:r w:rsidR="00314B51" w:rsidRPr="00314B51">
        <w:rPr>
          <w:rFonts w:ascii="Cambria" w:eastAsia="Cambria" w:hAnsi="Cambria" w:cs="Cambria"/>
          <w:color w:val="000000"/>
        </w:rPr>
        <w:t>solicitud de apoyos la normatividad permite definir claramente los</w:t>
      </w:r>
      <w:r>
        <w:rPr>
          <w:rFonts w:ascii="Cambria" w:eastAsia="Cambria" w:hAnsi="Cambria" w:cs="Cambria"/>
          <w:color w:val="000000"/>
        </w:rPr>
        <w:t xml:space="preserve"> </w:t>
      </w:r>
      <w:r w:rsidR="00314B51" w:rsidRPr="00314B51">
        <w:rPr>
          <w:rFonts w:ascii="Cambria" w:eastAsia="Cambria" w:hAnsi="Cambria" w:cs="Cambria"/>
          <w:color w:val="000000"/>
        </w:rPr>
        <w:t>procesos y darles cumplimiento. También se observó que se cuenta con lineamientos para seleccionar a las y los beneficiarios, lo que permite mantener el padrón actualizado</w:t>
      </w:r>
      <w:r>
        <w:rPr>
          <w:rFonts w:ascii="Cambria" w:eastAsia="Cambria" w:hAnsi="Cambria" w:cs="Cambria"/>
          <w:color w:val="000000"/>
        </w:rPr>
        <w:t xml:space="preserve"> </w:t>
      </w:r>
      <w:r w:rsidR="00314B51" w:rsidRPr="00314B51">
        <w:rPr>
          <w:rFonts w:ascii="Cambria" w:eastAsia="Cambria" w:hAnsi="Cambria" w:cs="Cambria"/>
          <w:color w:val="000000"/>
        </w:rPr>
        <w:t>mensualmente.</w:t>
      </w:r>
      <w:r>
        <w:rPr>
          <w:rFonts w:ascii="Cambria" w:eastAsia="Cambria" w:hAnsi="Cambria" w:cs="Cambria"/>
          <w:color w:val="000000"/>
        </w:rPr>
        <w:t xml:space="preserve"> </w:t>
      </w:r>
      <w:r w:rsidR="00846880">
        <w:rPr>
          <w:rFonts w:ascii="Cambria" w:eastAsia="Cambria" w:hAnsi="Cambria" w:cs="Cambria"/>
          <w:color w:val="000000"/>
        </w:rPr>
        <w:t>No obstante,</w:t>
      </w:r>
      <w:r>
        <w:rPr>
          <w:rFonts w:ascii="Cambria" w:eastAsia="Cambria" w:hAnsi="Cambria" w:cs="Cambria"/>
          <w:color w:val="000000"/>
        </w:rPr>
        <w:t xml:space="preserve"> hay otros procesos con un grado de consolidación medio y bajo: </w:t>
      </w:r>
      <w:r w:rsidR="00846880">
        <w:rPr>
          <w:rFonts w:ascii="Cambria" w:eastAsia="Cambria" w:hAnsi="Cambria" w:cs="Cambria"/>
          <w:color w:val="000000"/>
        </w:rPr>
        <w:t xml:space="preserve">en el proceso de </w:t>
      </w:r>
      <w:r>
        <w:rPr>
          <w:rFonts w:ascii="Cambria" w:eastAsia="Cambria" w:hAnsi="Cambria" w:cs="Cambria"/>
          <w:color w:val="000000"/>
        </w:rPr>
        <w:t>planeación</w:t>
      </w:r>
      <w:r w:rsidR="00846880">
        <w:rPr>
          <w:rFonts w:ascii="Cambria" w:eastAsia="Cambria" w:hAnsi="Cambria" w:cs="Cambria"/>
          <w:color w:val="000000"/>
        </w:rPr>
        <w:t xml:space="preserve"> se identificó una limitada participación del personal operativo en la definición de las metas productivas del programa, lo que se ha reflejado en ajustes en el plan de trabajo de los SD; en el proceso de </w:t>
      </w:r>
      <w:r>
        <w:rPr>
          <w:rFonts w:ascii="Cambria" w:eastAsia="Cambria" w:hAnsi="Cambria" w:cs="Cambria"/>
          <w:color w:val="000000"/>
        </w:rPr>
        <w:t>distribución y entrega de bienes y servicios</w:t>
      </w:r>
      <w:r w:rsidR="00846880">
        <w:rPr>
          <w:rFonts w:ascii="Cambria" w:eastAsia="Cambria" w:hAnsi="Cambria" w:cs="Cambria"/>
          <w:color w:val="000000"/>
        </w:rPr>
        <w:t xml:space="preserve"> se observaron posibles desabastos en la proveeduría de insumos para la producción agroforestal del programa, </w:t>
      </w:r>
      <w:r w:rsidR="000A3C98" w:rsidRPr="000A3C98">
        <w:rPr>
          <w:rFonts w:ascii="Cambria" w:eastAsia="Cambria" w:hAnsi="Cambria" w:cs="Cambria"/>
          <w:color w:val="000000"/>
        </w:rPr>
        <w:t>falta de infraestructura para la concentración y distribución</w:t>
      </w:r>
      <w:r w:rsidR="000A3C98">
        <w:rPr>
          <w:rFonts w:ascii="Cambria" w:eastAsia="Cambria" w:hAnsi="Cambria" w:cs="Cambria"/>
          <w:color w:val="000000"/>
        </w:rPr>
        <w:t xml:space="preserve"> </w:t>
      </w:r>
      <w:r w:rsidR="000A3C98" w:rsidRPr="000A3C98">
        <w:rPr>
          <w:rFonts w:ascii="Cambria" w:eastAsia="Cambria" w:hAnsi="Cambria" w:cs="Cambria"/>
          <w:color w:val="000000"/>
        </w:rPr>
        <w:t>de los materiales que el Programa entrega en especie, lo que puede traducirse en gastos para</w:t>
      </w:r>
      <w:r w:rsidR="000A3C98">
        <w:rPr>
          <w:rFonts w:ascii="Cambria" w:eastAsia="Cambria" w:hAnsi="Cambria" w:cs="Cambria"/>
          <w:color w:val="000000"/>
        </w:rPr>
        <w:t xml:space="preserve"> </w:t>
      </w:r>
      <w:r w:rsidR="000A3C98" w:rsidRPr="000A3C98">
        <w:rPr>
          <w:rFonts w:ascii="Cambria" w:eastAsia="Cambria" w:hAnsi="Cambria" w:cs="Cambria"/>
          <w:color w:val="000000"/>
        </w:rPr>
        <w:t>los técnicos y beneficiarios</w:t>
      </w:r>
      <w:r w:rsidR="000A3C98">
        <w:rPr>
          <w:rFonts w:ascii="Cambria" w:eastAsia="Cambria" w:hAnsi="Cambria" w:cs="Cambria"/>
          <w:color w:val="000000"/>
        </w:rPr>
        <w:t xml:space="preserve">, </w:t>
      </w:r>
      <w:r w:rsidR="00846880">
        <w:rPr>
          <w:rFonts w:ascii="Cambria" w:eastAsia="Cambria" w:hAnsi="Cambria" w:cs="Cambria"/>
          <w:color w:val="000000"/>
        </w:rPr>
        <w:t xml:space="preserve">así como la entrega de plantas por parte de la Secretaría de la Defensa Nacional (SEDENA) a las CAC que no cumplen con las condiciones para su trasplante inmediato. Finalmente, en el proceso de seguimiento a beneficiarios y monitoreo de apoyos se identificó que no todas las CAC cuentan con el número de Jóvenes Construyendo el Futuro </w:t>
      </w:r>
      <w:r w:rsidR="00856DF8">
        <w:rPr>
          <w:rFonts w:ascii="Cambria" w:eastAsia="Cambria" w:hAnsi="Cambria" w:cs="Cambria"/>
          <w:color w:val="000000"/>
        </w:rPr>
        <w:t xml:space="preserve">(JCF) </w:t>
      </w:r>
      <w:r w:rsidR="00846880">
        <w:rPr>
          <w:rFonts w:ascii="Cambria" w:eastAsia="Cambria" w:hAnsi="Cambria" w:cs="Cambria"/>
          <w:color w:val="000000"/>
        </w:rPr>
        <w:t xml:space="preserve">que delimita la normatividad, mientras que la carga de información </w:t>
      </w:r>
      <w:r w:rsidR="00856DF8">
        <w:rPr>
          <w:rFonts w:ascii="Cambria" w:eastAsia="Cambria" w:hAnsi="Cambria" w:cs="Cambria"/>
          <w:color w:val="000000"/>
        </w:rPr>
        <w:t xml:space="preserve">al Sistema Núcleo (S-Núcleo) </w:t>
      </w:r>
      <w:r w:rsidR="00846880">
        <w:rPr>
          <w:rFonts w:ascii="Cambria" w:eastAsia="Cambria" w:hAnsi="Cambria" w:cs="Cambria"/>
          <w:color w:val="000000"/>
        </w:rPr>
        <w:t>para la supervisión de las CAC puede traducirse en sobrecargas de trabajo para los técnicos del programa.</w:t>
      </w:r>
    </w:p>
    <w:p w14:paraId="248BD2F1" w14:textId="2F899148" w:rsidR="00614444" w:rsidRDefault="00614444" w:rsidP="00614444">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b/>
          <w:color w:val="000000"/>
        </w:rPr>
        <w:t>Principales recomendaciones de la evaluación</w:t>
      </w:r>
    </w:p>
    <w:p w14:paraId="07F0FDEB" w14:textId="2C7E6B5C" w:rsidR="00DF5BC5" w:rsidRDefault="008B67B6" w:rsidP="00614444">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t>Para atender las</w:t>
      </w:r>
      <w:r w:rsidR="00856DF8">
        <w:rPr>
          <w:rFonts w:ascii="Cambria" w:eastAsia="Cambria" w:hAnsi="Cambria" w:cs="Cambria"/>
          <w:color w:val="000000"/>
        </w:rPr>
        <w:t xml:space="preserve"> áreas de oportunidad observadas en el proceso de planeación </w:t>
      </w:r>
      <w:r w:rsidR="00856DF8" w:rsidRPr="00856DF8">
        <w:rPr>
          <w:rFonts w:ascii="Cambria" w:eastAsia="Cambria" w:hAnsi="Cambria" w:cs="Cambria"/>
          <w:color w:val="000000"/>
        </w:rPr>
        <w:t>se recomienda contemplar las capacidades de las Unidades Productivas y</w:t>
      </w:r>
      <w:r>
        <w:rPr>
          <w:rFonts w:ascii="Cambria" w:eastAsia="Cambria" w:hAnsi="Cambria" w:cs="Cambria"/>
          <w:color w:val="000000"/>
        </w:rPr>
        <w:t xml:space="preserve"> de los </w:t>
      </w:r>
      <w:r w:rsidR="00856DF8" w:rsidRPr="00856DF8">
        <w:rPr>
          <w:rFonts w:ascii="Cambria" w:eastAsia="Cambria" w:hAnsi="Cambria" w:cs="Cambria"/>
          <w:color w:val="000000"/>
        </w:rPr>
        <w:t>beneficiarios para definir, junto con el personal operativo en campo, el número de plantas a establecer y los sistemas de cultivos a implementar</w:t>
      </w:r>
      <w:r w:rsidR="000A3C98">
        <w:rPr>
          <w:rFonts w:ascii="Cambria" w:eastAsia="Cambria" w:hAnsi="Cambria" w:cs="Cambria"/>
          <w:color w:val="000000"/>
        </w:rPr>
        <w:t xml:space="preserve">. Con el objetivo de mejorar el proceso de entrega de plantas provenientes de la SEDENA, </w:t>
      </w:r>
      <w:r w:rsidR="00856DF8" w:rsidRPr="00856DF8">
        <w:rPr>
          <w:rFonts w:ascii="Cambria" w:eastAsia="Cambria" w:hAnsi="Cambria" w:cs="Cambria"/>
          <w:color w:val="000000"/>
        </w:rPr>
        <w:t xml:space="preserve">es necesario considerar las condiciones climáticas de las regiones receptoras </w:t>
      </w:r>
      <w:r>
        <w:rPr>
          <w:rFonts w:ascii="Cambria" w:eastAsia="Cambria" w:hAnsi="Cambria" w:cs="Cambria"/>
          <w:color w:val="000000"/>
        </w:rPr>
        <w:t xml:space="preserve">y </w:t>
      </w:r>
      <w:r w:rsidR="00856DF8" w:rsidRPr="00856DF8">
        <w:rPr>
          <w:rFonts w:ascii="Cambria" w:eastAsia="Cambria" w:hAnsi="Cambria" w:cs="Cambria"/>
          <w:color w:val="000000"/>
        </w:rPr>
        <w:t>los periodos para su entrega, a fin de facilitar su trasplante y reducir la mortalidad de esta.</w:t>
      </w:r>
      <w:r w:rsidR="00856DF8">
        <w:rPr>
          <w:rFonts w:ascii="Cambria" w:eastAsia="Cambria" w:hAnsi="Cambria" w:cs="Cambria"/>
          <w:color w:val="000000"/>
        </w:rPr>
        <w:t xml:space="preserve"> En cuanto a las mejoras en el proceso de </w:t>
      </w:r>
      <w:r w:rsidR="00856DF8" w:rsidRPr="00856DF8">
        <w:rPr>
          <w:rFonts w:ascii="Cambria" w:eastAsia="Cambria" w:hAnsi="Cambria" w:cs="Cambria"/>
          <w:color w:val="000000"/>
        </w:rPr>
        <w:t>seguimiento a beneficiarios y monitoreo de apoyos</w:t>
      </w:r>
      <w:r w:rsidR="00856DF8">
        <w:rPr>
          <w:rFonts w:ascii="Cambria" w:eastAsia="Cambria" w:hAnsi="Cambria" w:cs="Cambria"/>
          <w:color w:val="000000"/>
        </w:rPr>
        <w:t xml:space="preserve"> </w:t>
      </w:r>
      <w:r w:rsidR="00856DF8" w:rsidRPr="00856DF8">
        <w:rPr>
          <w:rFonts w:ascii="Cambria" w:eastAsia="Cambria" w:hAnsi="Cambria" w:cs="Cambria"/>
          <w:color w:val="000000"/>
        </w:rPr>
        <w:t>se recomienda establecer mecanismos para promover la participación de los becarios de JCF en el Programa, además de incorporar la opinión de los técnicos para establecer mejoras en la actualización del S-Núcleo y en la entrega de informes que faciliten la carga de información.</w:t>
      </w:r>
    </w:p>
    <w:p w14:paraId="551D47A7" w14:textId="77777777" w:rsidR="00614444" w:rsidRDefault="00614444" w:rsidP="00614444">
      <w:pPr>
        <w:pBdr>
          <w:top w:val="nil"/>
          <w:left w:val="nil"/>
          <w:bottom w:val="nil"/>
          <w:right w:val="nil"/>
          <w:between w:val="nil"/>
        </w:pBdr>
        <w:spacing w:after="120" w:line="240" w:lineRule="auto"/>
        <w:jc w:val="both"/>
        <w:rPr>
          <w:rFonts w:ascii="Cambria" w:eastAsia="Cambria" w:hAnsi="Cambria" w:cs="Cambria"/>
          <w:b/>
          <w:color w:val="000000"/>
        </w:rPr>
      </w:pPr>
      <w:r>
        <w:rPr>
          <w:rFonts w:ascii="Cambria" w:eastAsia="Cambria" w:hAnsi="Cambria" w:cs="Cambria"/>
          <w:b/>
          <w:color w:val="000000"/>
        </w:rPr>
        <w:t xml:space="preserve">Recomendaciones para el proceso de programación y presupuestación </w:t>
      </w:r>
    </w:p>
    <w:p w14:paraId="20565D48" w14:textId="7CE747AB" w:rsidR="00614444" w:rsidRDefault="000A3C98" w:rsidP="00614444">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t xml:space="preserve">Para atender las problemáticas en la de distribución y entrega de bienes y servicios que proporciona el programa </w:t>
      </w:r>
      <w:r w:rsidRPr="00856DF8">
        <w:rPr>
          <w:rFonts w:ascii="Cambria" w:eastAsia="Cambria" w:hAnsi="Cambria" w:cs="Cambria"/>
          <w:color w:val="000000"/>
        </w:rPr>
        <w:t xml:space="preserve">se sugiere trabajar en una cartera de proveedores </w:t>
      </w:r>
      <w:r>
        <w:rPr>
          <w:rFonts w:ascii="Cambria" w:eastAsia="Cambria" w:hAnsi="Cambria" w:cs="Cambria"/>
          <w:color w:val="000000"/>
        </w:rPr>
        <w:t xml:space="preserve">a </w:t>
      </w:r>
      <w:r w:rsidRPr="00856DF8">
        <w:rPr>
          <w:rFonts w:ascii="Cambria" w:eastAsia="Cambria" w:hAnsi="Cambria" w:cs="Cambria"/>
          <w:color w:val="000000"/>
        </w:rPr>
        <w:t>nivel regional y programar las fechas de adquisición de insumos en especie a fin de no saturar la demanda local, además</w:t>
      </w:r>
      <w:r>
        <w:rPr>
          <w:rFonts w:ascii="Cambria" w:eastAsia="Cambria" w:hAnsi="Cambria" w:cs="Cambria"/>
          <w:color w:val="000000"/>
        </w:rPr>
        <w:t xml:space="preserve">. De igual manera, para atender la falta de infraestructura para la distribución de los bienes y servicios se recomienda, </w:t>
      </w:r>
      <w:r w:rsidR="008B67B6" w:rsidRPr="008B67B6">
        <w:rPr>
          <w:rFonts w:ascii="Cambria" w:eastAsia="Cambria" w:hAnsi="Cambria" w:cs="Cambria"/>
          <w:color w:val="000000"/>
        </w:rPr>
        <w:t>en la medida de lo posible, acercar este</w:t>
      </w:r>
      <w:r>
        <w:rPr>
          <w:rFonts w:ascii="Cambria" w:eastAsia="Cambria" w:hAnsi="Cambria" w:cs="Cambria"/>
          <w:color w:val="000000"/>
        </w:rPr>
        <w:t xml:space="preserve"> </w:t>
      </w:r>
      <w:r w:rsidR="008B67B6" w:rsidRPr="008B67B6">
        <w:rPr>
          <w:rFonts w:ascii="Cambria" w:eastAsia="Cambria" w:hAnsi="Cambria" w:cs="Cambria"/>
          <w:color w:val="000000"/>
        </w:rPr>
        <w:t xml:space="preserve">tipo de apoyos a los territorios en los que serán utilizados; al respecto, </w:t>
      </w:r>
      <w:r>
        <w:rPr>
          <w:rFonts w:ascii="Cambria" w:eastAsia="Cambria" w:hAnsi="Cambria" w:cs="Cambria"/>
          <w:color w:val="000000"/>
        </w:rPr>
        <w:t xml:space="preserve">se sugiere </w:t>
      </w:r>
      <w:r w:rsidR="008B67B6" w:rsidRPr="008B67B6">
        <w:rPr>
          <w:rFonts w:ascii="Cambria" w:eastAsia="Cambria" w:hAnsi="Cambria" w:cs="Cambria"/>
          <w:color w:val="000000"/>
        </w:rPr>
        <w:t>explorar la</w:t>
      </w:r>
      <w:r>
        <w:rPr>
          <w:rFonts w:ascii="Cambria" w:eastAsia="Cambria" w:hAnsi="Cambria" w:cs="Cambria"/>
          <w:color w:val="000000"/>
        </w:rPr>
        <w:t xml:space="preserve"> </w:t>
      </w:r>
      <w:r w:rsidR="008B67B6" w:rsidRPr="008B67B6">
        <w:rPr>
          <w:rFonts w:ascii="Cambria" w:eastAsia="Cambria" w:hAnsi="Cambria" w:cs="Cambria"/>
          <w:color w:val="000000"/>
        </w:rPr>
        <w:t>posibilidad de establecer convenios con autoridades locales o particulares para el uso de</w:t>
      </w:r>
      <w:r>
        <w:rPr>
          <w:rFonts w:ascii="Cambria" w:eastAsia="Cambria" w:hAnsi="Cambria" w:cs="Cambria"/>
          <w:color w:val="000000"/>
        </w:rPr>
        <w:t xml:space="preserve"> </w:t>
      </w:r>
      <w:r w:rsidR="008B67B6" w:rsidRPr="008B67B6">
        <w:rPr>
          <w:rFonts w:ascii="Cambria" w:eastAsia="Cambria" w:hAnsi="Cambria" w:cs="Cambria"/>
          <w:color w:val="000000"/>
        </w:rPr>
        <w:t xml:space="preserve">espacios en los que puedan recibirse los apoyos. </w:t>
      </w:r>
    </w:p>
    <w:p w14:paraId="4FB57477" w14:textId="77777777" w:rsidR="000A3C98" w:rsidRPr="000A3C98" w:rsidRDefault="000A3C98" w:rsidP="00614444">
      <w:pPr>
        <w:pBdr>
          <w:top w:val="nil"/>
          <w:left w:val="nil"/>
          <w:bottom w:val="nil"/>
          <w:right w:val="nil"/>
          <w:between w:val="nil"/>
        </w:pBdr>
        <w:spacing w:after="120" w:line="240" w:lineRule="auto"/>
        <w:jc w:val="both"/>
        <w:rPr>
          <w:rFonts w:ascii="Cambria" w:eastAsia="Cambria" w:hAnsi="Cambria" w:cs="Cambria"/>
          <w:color w:val="000000"/>
        </w:rPr>
      </w:pPr>
    </w:p>
    <w:p w14:paraId="2C455B77" w14:textId="77777777" w:rsidR="00614444" w:rsidRDefault="00614444" w:rsidP="00614444">
      <w:pPr>
        <w:pBdr>
          <w:top w:val="nil"/>
          <w:left w:val="nil"/>
          <w:bottom w:val="nil"/>
          <w:right w:val="nil"/>
          <w:between w:val="nil"/>
        </w:pBdr>
        <w:shd w:val="clear" w:color="auto" w:fill="D9D9D9"/>
        <w:spacing w:after="120" w:line="240" w:lineRule="auto"/>
        <w:jc w:val="both"/>
        <w:rPr>
          <w:rFonts w:ascii="Cambria" w:eastAsia="Cambria" w:hAnsi="Cambria" w:cs="Cambria"/>
          <w:b/>
          <w:i/>
          <w:color w:val="000000"/>
          <w:sz w:val="20"/>
          <w:szCs w:val="20"/>
        </w:rPr>
      </w:pPr>
      <w:r>
        <w:rPr>
          <w:rFonts w:ascii="Cambria" w:eastAsia="Cambria" w:hAnsi="Cambria" w:cs="Cambria"/>
          <w:b/>
          <w:i/>
          <w:color w:val="000000"/>
        </w:rPr>
        <w:lastRenderedPageBreak/>
        <w:t>Notas:</w:t>
      </w:r>
    </w:p>
    <w:p w14:paraId="7BD2A291"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El FARE deberá ser enviado a la UED y al Consejo, de conformidad con lo establecido en los numerales </w:t>
      </w:r>
      <w:r w:rsidRPr="00F41741">
        <w:rPr>
          <w:rFonts w:ascii="Cambria" w:hAnsi="Cambria"/>
          <w:i/>
          <w:color w:val="000000"/>
          <w:sz w:val="20"/>
        </w:rPr>
        <w:t>34 y 3</w:t>
      </w:r>
      <w:r w:rsidRPr="003F32CC">
        <w:rPr>
          <w:rFonts w:ascii="Cambria" w:hAnsi="Cambria"/>
          <w:i/>
          <w:color w:val="000000"/>
          <w:sz w:val="20"/>
        </w:rPr>
        <w:t>5</w:t>
      </w:r>
      <w:r>
        <w:rPr>
          <w:rFonts w:ascii="Cambria" w:eastAsia="Cambria" w:hAnsi="Cambria" w:cs="Cambria"/>
          <w:i/>
          <w:color w:val="000000"/>
          <w:sz w:val="20"/>
          <w:szCs w:val="20"/>
        </w:rPr>
        <w:t xml:space="preserve"> de este PAE, junto con el informe final de la evaluación.</w:t>
      </w:r>
    </w:p>
    <w:p w14:paraId="5AB399AC"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El FARE contiene la información señalada en el numeral Vigésimo Octavo de los Lineamientos Generales para la Evaluación de los Programas Federales de la Administración Pública Federal, con excepción de los incisos V, VI y VII. </w:t>
      </w:r>
    </w:p>
    <w:p w14:paraId="371B4536"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 El FARE constituye el principal insumo para integrar el informe trimestral al que hace referencia el artículo 107, fracción I, de la Ley Federal de Presupuesto y Responsabilidad Hacendaria (LFPRH).  </w:t>
      </w:r>
    </w:p>
    <w:p w14:paraId="2C3AE769"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El FARE constituye uno de los principales insumos para la integración del repositorio de evaluaciones que señala el artículo 303 Bis del Reglamento de la LFPRH.</w:t>
      </w:r>
    </w:p>
    <w:p w14:paraId="55A48B96" w14:textId="77777777" w:rsidR="00614444" w:rsidRDefault="00614444"/>
    <w:sectPr w:rsidR="00614444" w:rsidSect="000A3C98">
      <w:headerReference w:type="default" r:id="rId7"/>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E13E6" w14:textId="77777777" w:rsidR="009F2EF9" w:rsidRDefault="009F2EF9" w:rsidP="00CF49B9">
      <w:pPr>
        <w:spacing w:after="0" w:line="240" w:lineRule="auto"/>
      </w:pPr>
      <w:r>
        <w:separator/>
      </w:r>
    </w:p>
  </w:endnote>
  <w:endnote w:type="continuationSeparator" w:id="0">
    <w:p w14:paraId="34858545" w14:textId="77777777" w:rsidR="009F2EF9" w:rsidRDefault="009F2EF9" w:rsidP="00CF4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berana Sans">
    <w:altName w:val="Calibri"/>
    <w:panose1 w:val="00000000000000000000"/>
    <w:charset w:val="00"/>
    <w:family w:val="modern"/>
    <w:notTrueType/>
    <w:pitch w:val="variable"/>
    <w:sig w:usb0="800000AF" w:usb1="4000204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BBAD3" w14:textId="77777777" w:rsidR="009F2EF9" w:rsidRDefault="009F2EF9" w:rsidP="00CF49B9">
      <w:pPr>
        <w:spacing w:after="0" w:line="240" w:lineRule="auto"/>
      </w:pPr>
      <w:r>
        <w:separator/>
      </w:r>
    </w:p>
  </w:footnote>
  <w:footnote w:type="continuationSeparator" w:id="0">
    <w:p w14:paraId="2681DD35" w14:textId="77777777" w:rsidR="009F2EF9" w:rsidRDefault="009F2EF9" w:rsidP="00CF49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59FA1" w14:textId="0B87D5DC" w:rsidR="00CF49B9" w:rsidRDefault="00CF49B9">
    <w:pPr>
      <w:pStyle w:val="Encabezado"/>
    </w:pPr>
    <w:r>
      <w:rPr>
        <w:noProof/>
      </w:rPr>
      <w:drawing>
        <wp:anchor distT="0" distB="0" distL="114300" distR="114300" simplePos="0" relativeHeight="251660288" behindDoc="0" locked="0" layoutInCell="1" hidden="0" allowOverlap="1" wp14:anchorId="25677BA9" wp14:editId="5B563B80">
          <wp:simplePos x="0" y="0"/>
          <wp:positionH relativeFrom="column">
            <wp:posOffset>4453255</wp:posOffset>
          </wp:positionH>
          <wp:positionV relativeFrom="paragraph">
            <wp:posOffset>-53018</wp:posOffset>
          </wp:positionV>
          <wp:extent cx="1168400" cy="444500"/>
          <wp:effectExtent l="0" t="0" r="0" b="0"/>
          <wp:wrapNone/>
          <wp:docPr id="7" name="image2.png" descr="Imagen que contiene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31" name="image2.png" descr="Imagen que contiene Texto&#10;&#10;Descripción generada automáticamente"/>
                  <pic:cNvPicPr preferRelativeResize="0"/>
                </pic:nvPicPr>
                <pic:blipFill>
                  <a:blip r:embed="rId1"/>
                  <a:srcRect/>
                  <a:stretch>
                    <a:fillRect/>
                  </a:stretch>
                </pic:blipFill>
                <pic:spPr>
                  <a:xfrm>
                    <a:off x="0" y="0"/>
                    <a:ext cx="1168400" cy="444500"/>
                  </a:xfrm>
                  <a:prstGeom prst="rect">
                    <a:avLst/>
                  </a:prstGeom>
                  <a:ln/>
                </pic:spPr>
              </pic:pic>
            </a:graphicData>
          </a:graphic>
        </wp:anchor>
      </w:drawing>
    </w:r>
    <w:r>
      <w:rPr>
        <w:noProof/>
        <w:color w:val="000000"/>
      </w:rPr>
      <w:drawing>
        <wp:anchor distT="0" distB="0" distL="114300" distR="114300" simplePos="0" relativeHeight="251658240" behindDoc="1" locked="0" layoutInCell="1" allowOverlap="1" wp14:anchorId="1A44E853" wp14:editId="1C52C1C3">
          <wp:simplePos x="0" y="0"/>
          <wp:positionH relativeFrom="column">
            <wp:posOffset>3175</wp:posOffset>
          </wp:positionH>
          <wp:positionV relativeFrom="paragraph">
            <wp:posOffset>-23078</wp:posOffset>
          </wp:positionV>
          <wp:extent cx="2304415" cy="494030"/>
          <wp:effectExtent l="0" t="0" r="635" b="1270"/>
          <wp:wrapTight wrapText="bothSides">
            <wp:wrapPolygon edited="0">
              <wp:start x="1071" y="0"/>
              <wp:lineTo x="0" y="3332"/>
              <wp:lineTo x="0" y="19990"/>
              <wp:lineTo x="1428" y="20823"/>
              <wp:lineTo x="3214" y="20823"/>
              <wp:lineTo x="21427" y="18324"/>
              <wp:lineTo x="21427" y="14159"/>
              <wp:lineTo x="20713" y="13326"/>
              <wp:lineTo x="20713" y="2499"/>
              <wp:lineTo x="3036" y="0"/>
              <wp:lineTo x="1071" y="0"/>
            </wp:wrapPolygon>
          </wp:wrapTight>
          <wp:docPr id="8" name="Imagen 8"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32" descr="Imagen que contiene Text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4415" cy="4940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641F6"/>
    <w:multiLevelType w:val="multilevel"/>
    <w:tmpl w:val="67D23DE2"/>
    <w:lvl w:ilvl="0">
      <w:start w:val="1"/>
      <w:numFmt w:val="bullet"/>
      <w:lvlText w:val="•"/>
      <w:lvlJc w:val="left"/>
      <w:pPr>
        <w:ind w:left="1413" w:hanging="704"/>
      </w:pPr>
      <w:rPr>
        <w:rFonts w:ascii="Cambria" w:eastAsia="Cambria" w:hAnsi="Cambria" w:cs="Cambri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91704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9B9"/>
    <w:rsid w:val="000A3C98"/>
    <w:rsid w:val="00314B51"/>
    <w:rsid w:val="003F2EAB"/>
    <w:rsid w:val="005D623F"/>
    <w:rsid w:val="005E0E62"/>
    <w:rsid w:val="00614444"/>
    <w:rsid w:val="00770106"/>
    <w:rsid w:val="00786C38"/>
    <w:rsid w:val="007954FF"/>
    <w:rsid w:val="00846880"/>
    <w:rsid w:val="00856DF8"/>
    <w:rsid w:val="008B67B6"/>
    <w:rsid w:val="009F2133"/>
    <w:rsid w:val="009F2EF9"/>
    <w:rsid w:val="00B041D2"/>
    <w:rsid w:val="00B23A0A"/>
    <w:rsid w:val="00B42C5C"/>
    <w:rsid w:val="00B746DC"/>
    <w:rsid w:val="00BA2BE7"/>
    <w:rsid w:val="00C82D4C"/>
    <w:rsid w:val="00CF49B9"/>
    <w:rsid w:val="00DF5BC5"/>
    <w:rsid w:val="00E5609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BBA93"/>
  <w15:chartTrackingRefBased/>
  <w15:docId w15:val="{EBCB0C9D-83AA-4872-A96E-B5756B19C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F49B9"/>
    <w:pPr>
      <w:spacing w:after="200" w:line="276" w:lineRule="auto"/>
    </w:pPr>
    <w:rPr>
      <w:rFonts w:ascii="Calibri" w:eastAsia="Calibri" w:hAnsi="Calibri" w:cs="Calibri"/>
      <w:lang w:eastAsia="es-MX"/>
    </w:rPr>
  </w:style>
  <w:style w:type="paragraph" w:styleId="Ttulo2">
    <w:name w:val="heading 2"/>
    <w:basedOn w:val="Normal"/>
    <w:next w:val="Normal"/>
    <w:link w:val="Ttulo2Car"/>
    <w:rsid w:val="00CF49B9"/>
    <w:pPr>
      <w:keepNext/>
      <w:keepLines/>
      <w:spacing w:before="40" w:after="0"/>
      <w:jc w:val="center"/>
      <w:outlineLvl w:val="1"/>
    </w:pPr>
    <w:rPr>
      <w:rFonts w:ascii="Cambria" w:eastAsia="Cambria" w:hAnsi="Cambria" w:cs="Cambria"/>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CF49B9"/>
    <w:rPr>
      <w:rFonts w:ascii="Cambria" w:eastAsia="Cambria" w:hAnsi="Cambria" w:cs="Cambria"/>
      <w:b/>
      <w:i/>
      <w:lang w:eastAsia="es-MX"/>
    </w:rPr>
  </w:style>
  <w:style w:type="table" w:customStyle="1" w:styleId="1">
    <w:name w:val="1"/>
    <w:basedOn w:val="Tablanormal"/>
    <w:rsid w:val="00CF49B9"/>
    <w:pPr>
      <w:spacing w:after="200" w:line="276" w:lineRule="auto"/>
    </w:pPr>
    <w:rPr>
      <w:rFonts w:ascii="Calibri" w:eastAsia="Calibri" w:hAnsi="Calibri" w:cs="Calibri"/>
      <w:lang w:eastAsia="es-MX"/>
    </w:rPr>
    <w:tblPr>
      <w:tblStyleRowBandSize w:val="1"/>
      <w:tblStyleColBandSize w:val="1"/>
      <w:tblInd w:w="0" w:type="nil"/>
      <w:tblCellMar>
        <w:left w:w="115" w:type="dxa"/>
        <w:right w:w="115" w:type="dxa"/>
      </w:tblCellMar>
    </w:tblPr>
  </w:style>
  <w:style w:type="paragraph" w:styleId="Encabezado">
    <w:name w:val="header"/>
    <w:basedOn w:val="Normal"/>
    <w:link w:val="EncabezadoCar"/>
    <w:uiPriority w:val="99"/>
    <w:unhideWhenUsed/>
    <w:rsid w:val="00CF49B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F49B9"/>
    <w:rPr>
      <w:rFonts w:ascii="Calibri" w:eastAsia="Calibri" w:hAnsi="Calibri" w:cs="Calibri"/>
      <w:lang w:eastAsia="es-MX"/>
    </w:rPr>
  </w:style>
  <w:style w:type="paragraph" w:styleId="Piedepgina">
    <w:name w:val="footer"/>
    <w:basedOn w:val="Normal"/>
    <w:link w:val="PiedepginaCar"/>
    <w:uiPriority w:val="99"/>
    <w:unhideWhenUsed/>
    <w:rsid w:val="00CF49B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F49B9"/>
    <w:rPr>
      <w:rFonts w:ascii="Calibri" w:eastAsia="Calibri" w:hAnsi="Calibri" w:cs="Calibri"/>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3</Pages>
  <Words>1031</Words>
  <Characters>5675</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Evelyn J.V.</dc:creator>
  <cp:keywords/>
  <dc:description/>
  <cp:lastModifiedBy>Carolina Maldonado Carreño</cp:lastModifiedBy>
  <cp:revision>5</cp:revision>
  <dcterms:created xsi:type="dcterms:W3CDTF">2022-10-13T19:48:00Z</dcterms:created>
  <dcterms:modified xsi:type="dcterms:W3CDTF">2022-10-14T01:40:00Z</dcterms:modified>
</cp:coreProperties>
</file>